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“Bronze Contract”</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categorised as a Bronze contract using the Cabinet Office Contract Tiering Tool;</w:t>
            </w:r>
          </w:p>
        </w:tc>
      </w:tr>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[Supplier, Key Sub-contractors, [the Guarantor] and the [Monitored Suppliers];</w:t>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2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2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2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3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3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3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3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1">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 of Financial Distress Events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9">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A">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4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4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4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p>
        </w:tc>
      </w:tr>
      <w:tr>
        <w:trPr>
          <w:cantSplit w:val="0"/>
          <w:tblHeader w:val="0"/>
        </w:trPr>
        <w:tc>
          <w:tcP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Margin</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Margin = Operating Profit / Revenue</w:t>
            </w:r>
          </w:p>
        </w:tc>
        <w:tc>
          <w:tcPr>
            <w:vAlign w:val="center"/>
          </w:tcPr>
          <w:p w:rsidR="00000000" w:rsidDel="00000000" w:rsidP="00000000" w:rsidRDefault="00000000" w:rsidRPr="00000000" w14:paraId="00000063">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&lt; 3.0%</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tl w:val="0"/>
              </w:rPr>
            </w:r>
          </w:p>
        </w:tc>
        <w:tc>
          <w:tcP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 in arrears within 90] days of each accounting reference date based upon figures for the 12 months ending on the relevant accounting reference date </w:t>
            </w:r>
          </w:p>
        </w:tc>
      </w:tr>
      <w:tr>
        <w:trPr>
          <w:cantSplit w:val="0"/>
          <w:tblHeader w:val="0"/>
        </w:trPr>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Free Cash Flow to Net Debt Ratio</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Free cash flow to Net Debt Ratio = Free cash flow / Net Debt</w:t>
            </w:r>
          </w:p>
        </w:tc>
        <w:tc>
          <w:tcPr>
            <w:vAlign w:val="center"/>
          </w:tcPr>
          <w:p w:rsidR="00000000" w:rsidDel="00000000" w:rsidP="00000000" w:rsidRDefault="00000000" w:rsidRPr="00000000" w14:paraId="0000006A">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&lt; 0.0%</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w:t>
            </w:r>
            <w:r w:rsidDel="00000000" w:rsidR="00000000" w:rsidRPr="00000000">
              <w:rPr>
                <w:rFonts w:ascii="Arial" w:cs="Arial" w:eastAsia="Arial" w:hAnsi="Arial"/>
                <w:b w:val="0"/>
                <w:i w:val="1"/>
                <w:smallCaps w:val="0"/>
                <w:strike w:val="0"/>
                <w:color w:val="7030a0"/>
                <w:sz w:val="24"/>
                <w:szCs w:val="24"/>
                <w:highlight w:val="white"/>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in arrears within 90 days of each [accounting reference date based upon </w:t>
            </w:r>
            <w:r w:rsidDel="00000000" w:rsidR="00000000" w:rsidRPr="00000000">
              <w:rPr>
                <w:rFonts w:ascii="Arial" w:cs="Arial" w:eastAsia="Arial" w:hAnsi="Arial"/>
                <w:b w:val="0"/>
                <w:i w:val="1"/>
                <w:smallCaps w:val="0"/>
                <w:strike w:val="0"/>
                <w:color w:val="7030a0"/>
                <w:sz w:val="24"/>
                <w:szCs w:val="24"/>
                <w:highlight w:val="white"/>
                <w:u w:val="none"/>
                <w:vertAlign w:val="baseline"/>
                <w:rtl w:val="0"/>
              </w:rPr>
              <w:t xml:space="preserve">Free Cash Flow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for the 12 months ending on, and Net Debt at, the relevant accounting reference date </w:t>
            </w:r>
          </w:p>
        </w:tc>
      </w:tr>
      <w:tr>
        <w:trPr>
          <w:cantSplit w:val="0"/>
          <w:tblHeader w:val="0"/>
        </w:trPr>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vAlign w:val="cente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Debt + Net Pension Deficit to EBITDA Ratio = (Net Debt + Net Pension Deficit) / EBITDA</w:t>
            </w:r>
          </w:p>
        </w:tc>
        <w:tc>
          <w:tcPr>
            <w:vAlign w:val="center"/>
          </w:tcPr>
          <w:p w:rsidR="00000000" w:rsidDel="00000000" w:rsidP="00000000" w:rsidRDefault="00000000" w:rsidRPr="00000000" w14:paraId="00000070">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&gt; 5</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w:t>
            </w:r>
            <w:r w:rsidDel="00000000" w:rsidR="00000000" w:rsidRPr="00000000">
              <w:rPr>
                <w:rFonts w:ascii="Arial" w:cs="Arial" w:eastAsia="Arial" w:hAnsi="Arial"/>
                <w:b w:val="0"/>
                <w:i w:val="1"/>
                <w:smallCaps w:val="0"/>
                <w:strike w:val="0"/>
                <w:color w:val="f79646"/>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vAlign w:val="cente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Interest Paid Cover = Earnings Before Interest and Tax / Net Interest Paid</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7">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&lt; 2</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yearly in arrears within 90 days of each accounting reference date based upon figures for the 12 months ending on the relevant accounting reference date </w:t>
            </w:r>
          </w:p>
        </w:tc>
      </w:tr>
      <w:tr>
        <w:trPr>
          <w:cantSplit w:val="0"/>
          <w:tblHeader w:val="0"/>
        </w:trPr>
        <w:tc>
          <w:tcPr>
            <w:vAlign w:val="cente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Acid Ratio = (Current Assets – Inventories) / Current Liabilities</w:t>
            </w:r>
          </w:p>
        </w:tc>
        <w:tc>
          <w:tcPr>
            <w:vAlign w:val="center"/>
          </w:tcPr>
          <w:p w:rsidR="00000000" w:rsidDel="00000000" w:rsidP="00000000" w:rsidRDefault="00000000" w:rsidRPr="00000000" w14:paraId="0000007E">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&lt; 1</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Asset Value = Net Assets</w:t>
            </w:r>
          </w:p>
        </w:tc>
        <w:tc>
          <w:tcPr>
            <w:vAlign w:val="cente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&gt; £0</w:t>
            </w:r>
          </w:p>
        </w:tc>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Exposure Ratio</w:t>
            </w:r>
          </w:p>
        </w:tc>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Group Exposure / Gross Assets</w:t>
            </w:r>
          </w:p>
        </w:tc>
        <w:tc>
          <w:tcPr>
            <w:vAlign w:val="center"/>
          </w:tcPr>
          <w:p w:rsidR="00000000" w:rsidDel="00000000" w:rsidP="00000000" w:rsidRDefault="00000000" w:rsidRPr="00000000" w14:paraId="00000089">
            <w:pPr>
              <w:spacing w:after="0" w:lineRule="auto"/>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8A">
            <w:pPr>
              <w:spacing w:after="0" w:lineRule="auto"/>
              <w:jc w:val="center"/>
              <w:rPr>
                <w:rFonts w:ascii="Arial" w:cs="Arial" w:eastAsia="Arial" w:hAnsi="Arial"/>
                <w:color w:val="000000"/>
              </w:rPr>
            </w:pPr>
            <w:r w:rsidDel="00000000" w:rsidR="00000000" w:rsidRPr="00000000">
              <w:rPr>
                <w:rFonts w:ascii="Arial" w:cs="Arial" w:eastAsia="Arial" w:hAnsi="Arial"/>
                <w:color w:val="000000"/>
                <w:rtl w:val="0"/>
              </w:rPr>
              <w:t xml:space="preserve">x &gt; 50.0%</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highlight w:val="white"/>
                <w:u w:val="none"/>
                <w:vertAlign w:val="baseline"/>
              </w:rPr>
            </w:pPr>
            <w:r w:rsidDel="00000000" w:rsidR="00000000" w:rsidRPr="00000000">
              <w:rPr>
                <w:rFonts w:ascii="Arial" w:cs="Arial" w:eastAsia="Arial" w:hAnsi="Arial"/>
                <w:b w:val="1"/>
                <w:i w:val="0"/>
                <w:smallCaps w:val="0"/>
                <w:strike w:val="0"/>
                <w:sz w:val="24"/>
                <w:szCs w:val="24"/>
                <w:highlight w:val="white"/>
                <w:u w:val="none"/>
                <w:vertAlign w:val="baseline"/>
                <w:rtl w:val="0"/>
              </w:rPr>
              <w:t xml:space="preserve">Financial Target 8</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sz w:val="24"/>
                <w:szCs w:val="24"/>
                <w:highlight w:val="white"/>
                <w:u w:val="none"/>
                <w:vertAlign w:val="baseline"/>
              </w:rPr>
            </w:pPr>
            <w:r w:rsidDel="00000000" w:rsidR="00000000" w:rsidRPr="00000000">
              <w:rPr>
                <w:rFonts w:ascii="Arial" w:cs="Arial" w:eastAsia="Arial" w:hAnsi="Arial"/>
                <w:b w:val="1"/>
                <w:i w:val="0"/>
                <w:smallCaps w:val="0"/>
                <w:strike w:val="0"/>
                <w:sz w:val="24"/>
                <w:szCs w:val="24"/>
                <w:highlight w:val="white"/>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highlight w:val="white"/>
                <w:u w:val="none"/>
                <w:vertAlign w:val="baseline"/>
              </w:rPr>
            </w:pPr>
            <w:r w:rsidDel="00000000" w:rsidR="00000000" w:rsidRPr="00000000">
              <w:rPr>
                <w:rFonts w:ascii="Arial" w:cs="Arial" w:eastAsia="Arial" w:hAnsi="Arial"/>
                <w:b w:val="0"/>
                <w:i w:val="1"/>
                <w:smallCaps w:val="0"/>
                <w:strike w:val="0"/>
                <w:sz w:val="24"/>
                <w:szCs w:val="24"/>
                <w:highlight w:val="white"/>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highlight w:val="white"/>
                <w:u w:val="none"/>
                <w:vertAlign w:val="baseline"/>
              </w:rPr>
            </w:pPr>
            <w:r w:rsidDel="00000000" w:rsidR="00000000" w:rsidRPr="00000000">
              <w:rPr>
                <w:rFonts w:ascii="Arial" w:cs="Arial" w:eastAsia="Arial" w:hAnsi="Arial"/>
                <w:b w:val="0"/>
                <w:i w:val="1"/>
                <w:smallCaps w:val="0"/>
                <w:strike w:val="0"/>
                <w:sz w:val="24"/>
                <w:szCs w:val="24"/>
                <w:highlight w:val="white"/>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sz w:val="24"/>
                <w:szCs w:val="24"/>
                <w:highlight w:val="white"/>
                <w:u w:val="none"/>
                <w:vertAlign w:val="baseline"/>
              </w:rPr>
            </w:pPr>
            <w:r w:rsidDel="00000000" w:rsidR="00000000" w:rsidRPr="00000000">
              <w:rPr>
                <w:rFonts w:ascii="Arial" w:cs="Arial" w:eastAsia="Arial" w:hAnsi="Arial"/>
                <w:b w:val="0"/>
                <w:i w:val="1"/>
                <w:smallCaps w:val="0"/>
                <w:strike w:val="0"/>
                <w:sz w:val="24"/>
                <w:szCs w:val="24"/>
                <w:highlight w:val="white"/>
                <w:u w:val="none"/>
                <w:vertAlign w:val="baseline"/>
                <w:rtl w:val="0"/>
              </w:rPr>
              <w:t xml:space="preserve">[etc.]</w:t>
            </w:r>
            <w:r w:rsidDel="00000000" w:rsidR="00000000" w:rsidRPr="00000000">
              <w:rPr>
                <w:rtl w:val="0"/>
              </w:rPr>
            </w:r>
          </w:p>
        </w:tc>
      </w:tr>
    </w:tbl>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[Entity 1 e.g Group Member, Sub-contractor, Relevant Parent Company etc.] </w:t>
            </w:r>
          </w:p>
        </w:tc>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[1 – Operating Margin]</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[2 – etc..]</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[3][4][5][6][7][8][etc..]</w:t>
            </w:r>
          </w:p>
        </w:tc>
      </w:tr>
      <w:tr>
        <w:trPr>
          <w:cantSplit w:val="0"/>
          <w:tblHeader w:val="0"/>
        </w:trPr>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[Entity 2 e.g Group Member, Sub-contractor, Relevant Parent Company etc.]</w:t>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[1 – Operating Margin]</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[2 – etc.]</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[3][4][5][6][7][8][etc..]</w:t>
            </w:r>
          </w:p>
        </w:tc>
      </w:tr>
      <w:tr>
        <w:trPr>
          <w:cantSplit w:val="0"/>
          <w:tblHeader w:val="0"/>
        </w:trPr>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[etc.]</w:t>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[etc.]</w:t>
            </w:r>
          </w:p>
        </w:tc>
      </w:tr>
    </w:tbl>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A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A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B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B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Optional Clauses</w:t>
      </w:r>
    </w:p>
    <w:p w:rsidR="00000000" w:rsidDel="00000000" w:rsidP="00000000" w:rsidRDefault="00000000" w:rsidRPr="00000000" w14:paraId="000000B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Buyer’s Call-Off Contract is a Bronze Contract, if specified in the Order Form, the terms at Annex 5 shall apply to the Call-Off Contract in place of the foregoing terms of this Joint Schedule 7.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Dun &amp; Bradstreet have a number of scores, we use the Failure score, this score ranges from 1-100. CCS requires a minimum threshold of a score of 62. </w:t>
      </w:r>
    </w:p>
    <w:p w:rsidR="00000000" w:rsidDel="00000000" w:rsidP="00000000" w:rsidRDefault="00000000" w:rsidRPr="00000000" w14:paraId="000000B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Failure score feeds into the D&amp;B risk indicator, please see table below:</w:t>
      </w:r>
    </w:p>
    <w:p w:rsidR="00000000" w:rsidDel="00000000" w:rsidP="00000000" w:rsidRDefault="00000000" w:rsidRPr="00000000" w14:paraId="000000B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Risk Indicator</w:t>
        <w:tab/>
        <w:t xml:space="preserve">Failure Score</w:t>
        <w:tab/>
        <w:t xml:space="preserve">Probability of Failure</w:t>
      </w:r>
    </w:p>
    <w:p w:rsidR="00000000" w:rsidDel="00000000" w:rsidP="00000000" w:rsidRDefault="00000000" w:rsidRPr="00000000" w14:paraId="000000B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w:t>
        <w:tab/>
        <w:t xml:space="preserve">83-100</w:t>
        <w:tab/>
        <w:t xml:space="preserve">Minimum Risk</w:t>
      </w:r>
    </w:p>
    <w:p w:rsidR="00000000" w:rsidDel="00000000" w:rsidP="00000000" w:rsidRDefault="00000000" w:rsidRPr="00000000" w14:paraId="000000B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w:t>
        <w:tab/>
        <w:t xml:space="preserve">49-82</w:t>
        <w:tab/>
        <w:t xml:space="preserve">Lower than Average Risk</w:t>
      </w:r>
    </w:p>
    <w:p w:rsidR="00000000" w:rsidDel="00000000" w:rsidP="00000000" w:rsidRDefault="00000000" w:rsidRPr="00000000" w14:paraId="000000B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w:t>
        <w:tab/>
        <w:t xml:space="preserve">10-48</w:t>
        <w:tab/>
        <w:t xml:space="preserve">Higher than Average Risk</w:t>
      </w:r>
    </w:p>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w:t>
        <w:tab/>
        <w:t xml:space="preserve">0-9</w:t>
        <w:tab/>
        <w:t xml:space="preserve">High Risk</w:t>
      </w:r>
    </w:p>
    <w:p w:rsidR="00000000" w:rsidDel="00000000" w:rsidP="00000000" w:rsidRDefault="00000000" w:rsidRPr="00000000" w14:paraId="000000B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tab/>
        <w:t xml:space="preserve">Undetermined</w:t>
        <w:tab/>
        <w:t xml:space="preserve">Undetermined</w:t>
      </w:r>
    </w:p>
    <w:p w:rsidR="00000000" w:rsidDel="00000000" w:rsidP="00000000" w:rsidRDefault="00000000" w:rsidRPr="00000000" w14:paraId="000000C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r w:rsidDel="00000000" w:rsidR="00000000" w:rsidRPr="00000000">
        <w:rPr>
          <w:rtl w:val="0"/>
        </w:rPr>
      </w:r>
    </w:p>
    <w:p w:rsidR="00000000" w:rsidDel="00000000" w:rsidP="00000000" w:rsidRDefault="00000000" w:rsidRPr="00000000" w14:paraId="000000C2">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3whwml4"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C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C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C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Supplier</w:t>
            </w:r>
          </w:p>
        </w:tc>
        <w:tc>
          <w:tcPr>
            <w:shd w:fill="ffffff" w:val="clear"/>
          </w:tcPr>
          <w:p w:rsidR="00000000" w:rsidDel="00000000" w:rsidP="00000000" w:rsidRDefault="00000000" w:rsidRPr="00000000" w14:paraId="000000C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[insert rating]</w:t>
            </w:r>
          </w:p>
        </w:tc>
      </w:tr>
      <w:tr>
        <w:trPr>
          <w:cantSplit w:val="0"/>
          <w:tblHeader w:val="0"/>
        </w:trPr>
        <w:tc>
          <w:tcPr>
            <w:shd w:fill="ffffff" w:val="clear"/>
          </w:tcPr>
          <w:p w:rsidR="00000000" w:rsidDel="00000000" w:rsidP="00000000" w:rsidRDefault="00000000" w:rsidRPr="00000000" w14:paraId="000000C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[Guarantor]</w:t>
            </w:r>
          </w:p>
        </w:tc>
        <w:tc>
          <w:tcPr>
            <w:shd w:fill="ffffff" w:val="clear"/>
          </w:tcPr>
          <w:p w:rsidR="00000000" w:rsidDel="00000000" w:rsidP="00000000" w:rsidRDefault="00000000" w:rsidRPr="00000000" w14:paraId="000000C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tc>
      </w:tr>
    </w:tbl>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D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D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
      <w:bookmarkEnd w:id="2"/>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D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Financial Indicator</w:t>
            </w:r>
          </w:p>
        </w:tc>
        <w:tc>
          <w:tcPr>
            <w:shd w:fill="d9d9d9" w:val="clear"/>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1</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Operating Margin</w:t>
            </w:r>
          </w:p>
        </w:tc>
        <w:tc>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2</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Free Cash Flow to Net Debt Ratio</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OR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Debt to EBITDA Ratio]</w:t>
            </w:r>
          </w:p>
        </w:tc>
        <w:tc>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Net Cash Flow from Operating Activities – Capital Expenditure</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Purchase of property, plant &amp; equipment + purchase of intangible assets</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This should be stated after deduction of interest and tax paid.</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Net debt is negative (i.e. an entity has net cash), the relevant Financial Target Threshold should be treated as having been met.]</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OR</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Operating profit + Depreciation charge + Amortisation charge</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bookmarkStart w:colFirst="0" w:colLast="0" w:name="_heading=h.3as4poj" w:id="3"/>
            <w:bookmarkEnd w:id="3"/>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3</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Debt + Net  Pension Deficit to EBITDA ratio]</w:t>
            </w:r>
          </w:p>
        </w:tc>
        <w:tc>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Retirement Benefit Obligations – Retirement Benefit Assets</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Operating profit + Depreciation charge + Amortisation charge</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not</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non-designated hedges). Borrowings should also include balances owed to other group members.</w:t>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bookmarkStart w:colFirst="0" w:colLast="0" w:name="_heading=h.1pxezwc" w:id="4"/>
            <w:bookmarkEnd w:id="4"/>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4</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Interest Paid Cover]</w:t>
            </w:r>
          </w:p>
        </w:tc>
        <w:tc>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Operating profit</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Interest paid – Interest received</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Interest received and interest paid should be shown on the face of the Cash Flow statement.</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5</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[Acid Ratio]</w:t>
            </w:r>
          </w:p>
        </w:tc>
        <w:tc>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6</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[Net Asset value]</w:t>
            </w:r>
          </w:p>
        </w:tc>
        <w:tc>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7</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[Group Exposure Ratio]</w:t>
            </w:r>
          </w:p>
        </w:tc>
        <w:tc>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Balances owed by Group Undertakings + Contingent liabilities assumed in support of Group Undertakings</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white"/>
                <w:u w:val="none"/>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 Fixed Assets + Current Assets</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Both Fixed assets and Current assets are shown on the face of the Balance Sheet]</w:t>
            </w:r>
          </w:p>
        </w:tc>
      </w:tr>
      <w:tr>
        <w:trPr>
          <w:cantSplit w:val="0"/>
          <w:tblHeader w:val="0"/>
        </w:trPr>
        <w:tc>
          <w:tcPr>
            <w:vAlign w:val="center"/>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8</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[Insert additional Financial Indicators as necessary]</w:t>
            </w:r>
          </w:p>
        </w:tc>
        <w:tc>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white"/>
                <w:u w:val="single"/>
                <w:vertAlign w:val="baseline"/>
              </w:rPr>
            </w:pPr>
            <w:r w:rsidDel="00000000" w:rsidR="00000000" w:rsidRPr="00000000">
              <w:rPr>
                <w:rFonts w:ascii="Arial" w:cs="Arial" w:eastAsia="Arial" w:hAnsi="Arial"/>
                <w:b w:val="0"/>
                <w:i w:val="1"/>
                <w:smallCaps w:val="0"/>
                <w:strike w:val="0"/>
                <w:color w:val="000000"/>
                <w:sz w:val="24"/>
                <w:szCs w:val="24"/>
                <w:highlight w:val="white"/>
                <w:u w:val="single"/>
                <w:vertAlign w:val="baseline"/>
                <w:rtl w:val="0"/>
              </w:rPr>
              <w:t xml:space="preserve">[Etc..]</w:t>
            </w:r>
          </w:p>
        </w:tc>
      </w:tr>
    </w:tbl>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136">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49x2ik5" w:id="5"/>
      <w:bookmarkEnd w:id="5"/>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3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B">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4C">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4D">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4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4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5, the following words shall have the following meanings and they shall supplement Joint Schedule 1 (Definitions):</w:t>
      </w:r>
    </w:p>
    <w:tbl>
      <w:tblPr>
        <w:tblStyle w:val="Table6"/>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r w:rsidDel="00000000" w:rsidR="00000000" w:rsidRPr="00000000">
              <w:rPr>
                <w:rtl w:val="0"/>
              </w:rPr>
            </w:r>
          </w:p>
        </w:tc>
        <w:tc>
          <w:tcPr/>
          <w:p w:rsidR="00000000" w:rsidDel="00000000" w:rsidP="00000000" w:rsidRDefault="00000000" w:rsidRPr="00000000" w14:paraId="0000015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r w:rsidDel="00000000" w:rsidR="00000000" w:rsidRPr="00000000">
              <w:rPr>
                <w:rtl w:val="0"/>
              </w:rPr>
            </w:r>
          </w:p>
        </w:tc>
        <w:tc>
          <w:tcPr/>
          <w:p w:rsidR="00000000" w:rsidDel="00000000" w:rsidP="00000000" w:rsidRDefault="00000000" w:rsidRPr="00000000" w14:paraId="0000015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15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15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5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5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15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5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15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5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15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15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1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r w:rsidDel="00000000" w:rsidR="00000000" w:rsidRPr="00000000">
              <w:rPr>
                <w:rtl w:val="0"/>
              </w:rPr>
            </w:r>
          </w:p>
        </w:tc>
        <w:tc>
          <w:tcPr/>
          <w:p w:rsidR="00000000" w:rsidDel="00000000" w:rsidP="00000000" w:rsidRDefault="00000000" w:rsidRPr="00000000" w14:paraId="000001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r w:rsidDel="00000000" w:rsidR="00000000" w:rsidRPr="00000000">
              <w:rPr>
                <w:rtl w:val="0"/>
              </w:rPr>
            </w:r>
          </w:p>
        </w:tc>
        <w:tc>
          <w:tcPr/>
          <w:p w:rsidR="00000000" w:rsidDel="00000000" w:rsidP="00000000" w:rsidRDefault="00000000" w:rsidRPr="00000000" w14:paraId="0000016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r w:rsidDel="00000000" w:rsidR="00000000" w:rsidRPr="00000000">
              <w:rPr>
                <w:rtl w:val="0"/>
              </w:rPr>
            </w:r>
          </w:p>
        </w:tc>
        <w:tc>
          <w:tcPr/>
          <w:p w:rsidR="00000000" w:rsidDel="00000000" w:rsidP="00000000" w:rsidRDefault="00000000" w:rsidRPr="00000000" w14:paraId="0000016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Appendix 1.</w:t>
            </w:r>
          </w:p>
        </w:tc>
      </w:tr>
    </w:tbl>
    <w:p w:rsidR="00000000" w:rsidDel="00000000" w:rsidP="00000000" w:rsidRDefault="00000000" w:rsidRPr="00000000" w14:paraId="0000016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147n2zr"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1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Annex 5 shall survive: </w:t>
      </w:r>
    </w:p>
    <w:p w:rsidR="00000000" w:rsidDel="00000000" w:rsidP="00000000" w:rsidRDefault="00000000" w:rsidRPr="00000000" w14:paraId="0000016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6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16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1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6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6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check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Commercial Finance what provisions to make here – the quick ratio is not currently used]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6E">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7"/>
        <w:tblW w:w="8536.0" w:type="dxa"/>
        <w:jc w:val="left"/>
        <w:tblInd w:w="709.0" w:type="dxa"/>
        <w:tblLayout w:type="fixed"/>
        <w:tblLook w:val="0400"/>
      </w:tblPr>
      <w:tblGrid>
        <w:gridCol w:w="959"/>
        <w:gridCol w:w="7577"/>
        <w:tblGridChange w:id="0">
          <w:tblGrid>
            <w:gridCol w:w="959"/>
            <w:gridCol w:w="7577"/>
          </w:tblGrid>
        </w:tblGridChange>
      </w:tblGrid>
      <w:tr>
        <w:trPr>
          <w:cantSplit w:val="0"/>
          <w:tblHeader w:val="0"/>
        </w:trPr>
        <w:tc>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1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7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7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17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10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13"/>
      <w:bookmarkEnd w:id="13"/>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41mghml"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17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18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18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8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the Relevant Authority may reasonably require.</w:t>
      </w:r>
    </w:p>
    <w:p w:rsidR="00000000" w:rsidDel="00000000" w:rsidP="00000000" w:rsidRDefault="00000000" w:rsidRPr="00000000" w14:paraId="000001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8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the Relevant Authority, the Supplier shall:</w:t>
      </w:r>
    </w:p>
    <w:p w:rsidR="00000000" w:rsidDel="00000000" w:rsidP="00000000" w:rsidRDefault="00000000" w:rsidRPr="00000000" w14:paraId="000001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18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8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8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9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3.4; </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9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9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46r0co2" w:id="26"/>
      <w:bookmarkEnd w:id="2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19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9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1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bookmarkStart w:colFirst="0" w:colLast="0" w:name="_heading=h.4i7ojhp" w:id="27"/>
      <w:bookmarkEnd w:id="27"/>
      <w:r w:rsidDel="00000000" w:rsidR="00000000" w:rsidRPr="00000000">
        <w:rPr>
          <w:rtl w:val="0"/>
        </w:rPr>
      </w:r>
    </w:p>
    <w:p w:rsidR="00000000" w:rsidDel="00000000" w:rsidP="00000000" w:rsidRDefault="00000000" w:rsidRPr="00000000" w14:paraId="0000019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lwamvv" w:id="28"/>
      <w:bookmarkEnd w:id="28"/>
      <w:r w:rsidDel="00000000" w:rsidR="00000000" w:rsidRPr="00000000">
        <w:br w:type="page"/>
      </w:r>
      <w:r w:rsidDel="00000000" w:rsidR="00000000" w:rsidRPr="00000000">
        <w:rPr>
          <w:rtl w:val="0"/>
        </w:rPr>
      </w:r>
    </w:p>
    <w:p w:rsidR="00000000" w:rsidDel="00000000" w:rsidP="00000000" w:rsidRDefault="00000000" w:rsidRPr="00000000" w14:paraId="0000019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0"/>
          <w:i w:val="0"/>
          <w:smallCaps w:val="1"/>
          <w:strike w:val="0"/>
          <w:color w:val="000000"/>
          <w:sz w:val="36"/>
          <w:szCs w:val="36"/>
          <w:u w:val="none"/>
          <w:shd w:fill="auto" w:val="clear"/>
          <w:vertAlign w:val="baseline"/>
        </w:rPr>
      </w:pPr>
      <w:bookmarkStart w:colFirst="0" w:colLast="0" w:name="_heading=h.111kx3o" w:id="29"/>
      <w:bookmarkEnd w:id="29"/>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1: RATING AGENCIES</w:t>
      </w:r>
      <w:r w:rsidDel="00000000" w:rsidR="00000000" w:rsidRPr="00000000">
        <w:rPr>
          <w:rtl w:val="0"/>
        </w:rPr>
      </w:r>
    </w:p>
    <w:p w:rsidR="00000000" w:rsidDel="00000000" w:rsidP="00000000" w:rsidRDefault="00000000" w:rsidRPr="00000000" w14:paraId="0000019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19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19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l18frh" w:id="30"/>
      <w:bookmarkEnd w:id="30"/>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2: CREDIT RATINGS &amp; CREDIT RATING THRESHOLDS</w:t>
      </w:r>
      <w:r w:rsidDel="00000000" w:rsidR="00000000" w:rsidRPr="00000000">
        <w:rPr>
          <w:rtl w:val="0"/>
        </w:rPr>
      </w:r>
    </w:p>
    <w:p w:rsidR="00000000" w:rsidDel="00000000" w:rsidP="00000000" w:rsidRDefault="00000000" w:rsidRPr="00000000" w14:paraId="000001A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8"/>
        <w:tblW w:w="6168.000000000001"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gridCol w:w="7"/>
        <w:tblGridChange w:id="0">
          <w:tblGrid>
            <w:gridCol w:w="3080"/>
            <w:gridCol w:w="3081"/>
            <w:gridCol w:w="7"/>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A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1A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1A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gridSpan w:val="2"/>
            <w:shd w:fill="ffffff" w:val="clear"/>
          </w:tcPr>
          <w:p w:rsidR="00000000" w:rsidDel="00000000" w:rsidP="00000000" w:rsidRDefault="00000000" w:rsidRPr="00000000" w14:paraId="000001A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tc>
      </w:tr>
      <w:tr>
        <w:trPr>
          <w:cantSplit w:val="0"/>
          <w:tblHeader w:val="0"/>
        </w:trPr>
        <w:tc>
          <w:tcPr>
            <w:shd w:fill="ffffff" w:val="clear"/>
          </w:tcPr>
          <w:p w:rsidR="00000000" w:rsidDel="00000000" w:rsidP="00000000" w:rsidRDefault="00000000" w:rsidRPr="00000000" w14:paraId="000001A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gridSpan w:val="2"/>
            <w:shd w:fill="ffffff" w:val="clear"/>
          </w:tcPr>
          <w:p w:rsidR="00000000" w:rsidDel="00000000" w:rsidP="00000000" w:rsidRDefault="00000000" w:rsidRPr="00000000" w14:paraId="000001A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A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A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A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C">
      <w:pPr>
        <w:spacing w:after="200" w:line="276" w:lineRule="auto"/>
        <w:jc w:val="left"/>
        <w:rPr>
          <w:rFonts w:ascii="Arial" w:cs="Arial" w:eastAsia="Arial" w:hAnsi="Arial"/>
          <w:sz w:val="24"/>
          <w:szCs w:val="24"/>
        </w:rPr>
      </w:pPr>
      <w:r w:rsidDel="00000000" w:rsidR="00000000" w:rsidRPr="00000000">
        <w:rPr>
          <w:rtl w:val="0"/>
        </w:rPr>
      </w:r>
    </w:p>
    <w:sectPr>
      <w:headerReference r:id="rId10" w:type="defaul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tab/>
      <w:t xml:space="preserve">                                           </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2">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4">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E12774"/>
    <w:pPr>
      <w:keepNext w:val="1"/>
      <w:keepLines w:val="1"/>
      <w:spacing w:after="120" w:before="480"/>
      <w:outlineLvl w:val="0"/>
    </w:pPr>
    <w:rPr>
      <w:b w:val="1"/>
      <w:sz w:val="48"/>
      <w:szCs w:val="48"/>
      <w:lang w:eastAsia="en-GB"/>
    </w:rPr>
  </w:style>
  <w:style w:type="paragraph" w:styleId="Heading2">
    <w:name w:val="heading 2"/>
    <w:basedOn w:val="Normal"/>
    <w:next w:val="Normal"/>
    <w:link w:val="Heading2Char"/>
    <w:rsid w:val="00E12774"/>
    <w:pPr>
      <w:keepNext w:val="1"/>
      <w:keepLines w:val="1"/>
      <w:spacing w:after="80" w:before="360"/>
      <w:outlineLvl w:val="1"/>
    </w:pPr>
    <w:rPr>
      <w:b w:val="1"/>
      <w:sz w:val="36"/>
      <w:szCs w:val="36"/>
      <w:lang w:eastAsia="en-GB"/>
    </w:rPr>
  </w:style>
  <w:style w:type="paragraph" w:styleId="Heading3">
    <w:name w:val="heading 3"/>
    <w:basedOn w:val="Normal"/>
    <w:next w:val="Normal"/>
    <w:link w:val="Heading3Char"/>
    <w:rsid w:val="00E12774"/>
    <w:pPr>
      <w:keepNext w:val="1"/>
      <w:keepLines w:val="1"/>
      <w:spacing w:after="80" w:before="280"/>
      <w:outlineLvl w:val="2"/>
    </w:pPr>
    <w:rPr>
      <w:b w:val="1"/>
      <w:sz w:val="28"/>
      <w:szCs w:val="28"/>
      <w:lang w:eastAsia="en-GB"/>
    </w:rPr>
  </w:style>
  <w:style w:type="paragraph" w:styleId="Heading4">
    <w:name w:val="heading 4"/>
    <w:basedOn w:val="Normal"/>
    <w:next w:val="Normal"/>
    <w:link w:val="Heading4Char"/>
    <w:rsid w:val="00E12774"/>
    <w:pPr>
      <w:keepNext w:val="1"/>
      <w:keepLines w:val="1"/>
      <w:spacing w:after="40" w:before="240"/>
      <w:outlineLvl w:val="3"/>
    </w:pPr>
    <w:rPr>
      <w:b w:val="1"/>
      <w:sz w:val="24"/>
      <w:szCs w:val="24"/>
      <w:lang w:eastAsia="en-GB"/>
    </w:rPr>
  </w:style>
  <w:style w:type="paragraph" w:styleId="Heading5">
    <w:name w:val="heading 5"/>
    <w:basedOn w:val="Normal"/>
    <w:next w:val="Normal"/>
    <w:link w:val="Heading5Char"/>
    <w:rsid w:val="00E12774"/>
    <w:pPr>
      <w:keepNext w:val="1"/>
      <w:keepLines w:val="1"/>
      <w:spacing w:after="40" w:before="220"/>
      <w:outlineLvl w:val="4"/>
    </w:pPr>
    <w:rPr>
      <w:b w:val="1"/>
      <w:lang w:eastAsia="en-GB"/>
    </w:rPr>
  </w:style>
  <w:style w:type="paragraph" w:styleId="Heading6">
    <w:name w:val="heading 6"/>
    <w:basedOn w:val="Normal"/>
    <w:next w:val="Normal"/>
    <w:link w:val="Heading6Char"/>
    <w:rsid w:val="00E12774"/>
    <w:pPr>
      <w:keepNext w:val="1"/>
      <w:keepLines w:val="1"/>
      <w:spacing w:after="40" w:before="200"/>
      <w:outlineLvl w:val="5"/>
    </w:pPr>
    <w:rPr>
      <w:b w:val="1"/>
      <w:sz w:val="20"/>
      <w:szCs w:val="2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E12774"/>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E12774"/>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E12774"/>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E12774"/>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E12774"/>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E12774"/>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7"/>
      </w:numPr>
    </w:pPr>
  </w:style>
  <w:style w:type="numbering" w:styleId="Scheduleheading" w:customStyle="1">
    <w:name w:val="Schedule heading"/>
    <w:uiPriority w:val="99"/>
    <w:rsid w:val="0034142A"/>
    <w:pPr>
      <w:numPr>
        <w:numId w:val="8"/>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E12774"/>
    <w:pPr>
      <w:keepNext w:val="1"/>
      <w:keepLines w:val="1"/>
      <w:spacing w:after="120" w:before="480"/>
    </w:pPr>
    <w:rPr>
      <w:b w:val="1"/>
      <w:sz w:val="72"/>
      <w:szCs w:val="72"/>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E12774"/>
    <w:pPr>
      <w:keepNext w:val="1"/>
      <w:keepLines w:val="1"/>
      <w:spacing w:after="80" w:before="360"/>
    </w:pPr>
    <w:rPr>
      <w:rFonts w:ascii="Georgia" w:cs="Georgia" w:eastAsia="Georgia" w:hAnsi="Georgia"/>
      <w:i w:val="1"/>
      <w:color w:val="666666"/>
      <w:sz w:val="48"/>
      <w:szCs w:val="48"/>
      <w:lang w:eastAsia="en-GB"/>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cqbCSYp3ngCpSY1DNI4QrAcT0NQ==">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2023-05-11T13:09:00Z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